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15316" w:type="dxa"/>
        <w:tblInd w:w="-431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8931"/>
        <w:gridCol w:w="3828"/>
        <w:gridCol w:w="2557"/>
      </w:tblGrid>
      <w:tr w:rsidR="00BF1C06" w:rsidRPr="006E5A43" w:rsidTr="006E5A43">
        <w:tc>
          <w:tcPr>
            <w:tcW w:w="12759" w:type="dxa"/>
            <w:gridSpan w:val="2"/>
            <w:shd w:val="clear" w:color="auto" w:fill="DEEAF6" w:themeFill="accent1" w:themeFillTint="33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ПРИНЦИП 9.</w:t>
            </w:r>
            <w:r w:rsidRPr="006E5A43"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  <w:r w:rsidRPr="006E5A43">
              <w:rPr>
                <w:rFonts w:ascii="Times New Roman" w:eastAsia="Calibri" w:hAnsi="Times New Roman" w:cs="Times New Roman"/>
                <w:b/>
              </w:rPr>
              <w:t>УСТОЙЧИВОСТ И ДЪЛГОСРОЧНА ОРИЕНТАЦИЯ</w:t>
            </w:r>
          </w:p>
        </w:tc>
        <w:tc>
          <w:tcPr>
            <w:tcW w:w="2557" w:type="dxa"/>
            <w:shd w:val="clear" w:color="auto" w:fill="DEEAF6" w:themeFill="accent1" w:themeFillTint="33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ОБЩИНА: </w:t>
            </w:r>
            <w:r w:rsidR="004F0038">
              <w:rPr>
                <w:rFonts w:ascii="Times New Roman" w:eastAsia="Calibri" w:hAnsi="Times New Roman" w:cs="Times New Roman"/>
                <w:b/>
                <w:lang w:val="bg-BG"/>
              </w:rPr>
              <w:t>Свищов</w:t>
            </w:r>
          </w:p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BF1C06" w:rsidRPr="006E5A43" w:rsidTr="006E5A43">
        <w:tc>
          <w:tcPr>
            <w:tcW w:w="8931" w:type="dxa"/>
            <w:shd w:val="clear" w:color="auto" w:fill="FFFFFF" w:themeFill="background1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Дейности и индикатори</w:t>
            </w:r>
          </w:p>
        </w:tc>
        <w:tc>
          <w:tcPr>
            <w:tcW w:w="382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 xml:space="preserve">Коментар/бележки </w:t>
            </w:r>
          </w:p>
          <w:p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bCs/>
                <w:kern w:val="24"/>
                <w:lang w:val="bg-BG" w:eastAsia="bg-BG"/>
              </w:rPr>
              <w:t>на независимия експерт</w:t>
            </w: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 xml:space="preserve"> </w:t>
            </w:r>
          </w:p>
        </w:tc>
        <w:tc>
          <w:tcPr>
            <w:tcW w:w="2557" w:type="dxa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shd w:val="clear" w:color="auto" w:fill="FFFFFF" w:themeFill="background1"/>
          </w:tcPr>
          <w:p w:rsidR="00BF1C06" w:rsidRPr="006E5A43" w:rsidRDefault="00BF1C06" w:rsidP="006E5A43">
            <w:pPr>
              <w:tabs>
                <w:tab w:val="left" w:pos="4678"/>
              </w:tabs>
              <w:jc w:val="center"/>
              <w:textAlignment w:val="baseline"/>
              <w:rPr>
                <w:rFonts w:ascii="Times New Roman" w:eastAsia="Calibri" w:hAnsi="Times New Roman" w:cs="Times New Roman"/>
                <w:bCs/>
                <w:kern w:val="24"/>
                <w:lang w:val="bg-BG" w:eastAsia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lang w:val="bg-BG" w:eastAsia="bg-BG"/>
              </w:rPr>
              <w:t>Мнение на независимия експерт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ДЕЙНОСТ 1. Нуждите на бъдещите поколения са взети под внимание в текущите политики.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1. Общината прилага структуриран подход, ориентиран към планиране на дългосрочно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:rsidR="00803A49" w:rsidRPr="008573D0" w:rsidRDefault="004F0038" w:rsidP="004F003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Община Свищов изпълнява План за интегрирано развитие за периода 2021-2027 година, десетгодишна програма за енергийно ефективност, две програми за </w:t>
            </w:r>
            <w:r w:rsidRPr="001B1220">
              <w:rPr>
                <w:rFonts w:ascii="Times New Roman" w:eastAsia="Calibri" w:hAnsi="Times New Roman" w:cs="Times New Roman"/>
                <w:lang w:val="bg-BG"/>
              </w:rPr>
              <w:t xml:space="preserve">насърчаване използването на енергията от възобновяеми източници и </w:t>
            </w:r>
            <w:proofErr w:type="spellStart"/>
            <w:r w:rsidRPr="001B1220">
              <w:rPr>
                <w:rFonts w:ascii="Times New Roman" w:eastAsia="Calibri" w:hAnsi="Times New Roman" w:cs="Times New Roman"/>
                <w:lang w:val="bg-BG"/>
              </w:rPr>
              <w:t>биогорива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. Стреми се към насърчаване на инвестициите и социално-икономическа интеграция на уязвими групи.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4F0038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</w:tabs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Индикатор 2. Нуждите на бъдещото поколение се отчитат редовно в процеса на планиране</w:t>
            </w:r>
          </w:p>
        </w:tc>
        <w:tc>
          <w:tcPr>
            <w:tcW w:w="3828" w:type="dxa"/>
            <w:shd w:val="clear" w:color="auto" w:fill="FFFFFF" w:themeFill="background1"/>
          </w:tcPr>
          <w:p w:rsidR="00803A49" w:rsidRPr="008573D0" w:rsidRDefault="0028350F" w:rsidP="0028350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подкрепа на децата и учениците, администрацията отделя ежегодно финансов ресурс за запазване на училищната мрежа в населените места. Подпомагат се деца със здравословни проблеми и семейства за асистирана репродукция.</w:t>
            </w:r>
            <w:r w:rsidR="00AC1EE6">
              <w:rPr>
                <w:rFonts w:ascii="Times New Roman" w:eastAsia="Calibri" w:hAnsi="Times New Roman" w:cs="Times New Roman"/>
                <w:lang w:val="bg-BG"/>
              </w:rPr>
              <w:t xml:space="preserve"> Осем училища и детски градини са в категориите защитени или средищни. Развиват се културните институции и туризма.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28350F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C15AC1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C15AC1" w:rsidRPr="006E5A43" w:rsidRDefault="00C15AC1" w:rsidP="006E5A43">
            <w:pPr>
              <w:tabs>
                <w:tab w:val="left" w:pos="4678"/>
              </w:tabs>
              <w:jc w:val="both"/>
              <w:rPr>
                <w:rFonts w:ascii="Times New Roman" w:eastAsia="Calibri" w:hAnsi="Times New Roman" w:cs="Times New Roman"/>
                <w:b/>
                <w:iCs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iCs/>
                <w:lang w:val="bg-BG"/>
              </w:rPr>
              <w:t>ДЕЙНОСТ 2. Непрекъснато се взима под внимание устойчивото развитие на общността. Решенията са насочени към покриване на всички разходи, като целта е да не се пренасят за бъдещите поколения напрежение и проблеми - били те екологични, структурни, финансови, икономически или социални.</w:t>
            </w:r>
          </w:p>
        </w:tc>
      </w:tr>
      <w:tr w:rsidR="00803A49" w:rsidRPr="006E5A43" w:rsidTr="006E5A43">
        <w:tc>
          <w:tcPr>
            <w:tcW w:w="8931" w:type="dxa"/>
            <w:shd w:val="clear" w:color="auto" w:fill="FFFFFF" w:themeFill="background1"/>
          </w:tcPr>
          <w:p w:rsidR="00803A49" w:rsidRPr="006E5A43" w:rsidRDefault="00803A49" w:rsidP="00803A49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3.</w:t>
            </w:r>
            <w:r w:rsidRPr="006E5A43">
              <w:rPr>
                <w:rFonts w:ascii="Times New Roman" w:eastAsia="Calibri" w:hAnsi="Times New Roman" w:cs="Times New Roman"/>
                <w:b/>
                <w:iCs/>
                <w:noProof/>
                <w:lang w:val="bg-BG" w:eastAsia="bg-BG"/>
              </w:rPr>
              <w:t xml:space="preserve"> Налице е ясно демонстриран ангажимент на ОбС  и кмет /ръководен екип/  на общината  за постигане на устойчиво развитие, което е  неразделна част от  разработването на политики и стратегии, планирането на действия и определянето на цели във всички отдели, функции и предоставяни услуги.</w:t>
            </w:r>
          </w:p>
        </w:tc>
        <w:tc>
          <w:tcPr>
            <w:tcW w:w="3828" w:type="dxa"/>
            <w:shd w:val="clear" w:color="auto" w:fill="FFFFFF" w:themeFill="background1"/>
          </w:tcPr>
          <w:p w:rsidR="00803A49" w:rsidRPr="008573D0" w:rsidRDefault="000C143B" w:rsidP="000C143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Общински съвет и общинска администрация участват в постигането на устойчиво развитие чрез различни бюджетни разходи и проекти финансирани от ЕС. За последните десет години, договореният ресурс е над 82 </w:t>
            </w:r>
            <w:proofErr w:type="spellStart"/>
            <w:r>
              <w:rPr>
                <w:rFonts w:ascii="Times New Roman" w:eastAsia="Calibri" w:hAnsi="Times New Roman" w:cs="Times New Roman"/>
                <w:lang w:val="bg-BG"/>
              </w:rPr>
              <w:t>млн.лв</w:t>
            </w:r>
            <w:proofErr w:type="spellEnd"/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:rsidR="00803A49" w:rsidRPr="008573D0" w:rsidRDefault="000C143B" w:rsidP="00803A49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154B" w:rsidRPr="006E5A43" w:rsidTr="006E5A43">
        <w:tc>
          <w:tcPr>
            <w:tcW w:w="8931" w:type="dxa"/>
            <w:shd w:val="clear" w:color="auto" w:fill="FFFFFF" w:themeFill="background1"/>
          </w:tcPr>
          <w:p w:rsidR="00BE154B" w:rsidRPr="006E5A43" w:rsidRDefault="00BE154B" w:rsidP="00BE154B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 xml:space="preserve">Индикатор 4. </w:t>
            </w:r>
            <w:r w:rsidRPr="006E5A43">
              <w:rPr>
                <w:rFonts w:ascii="Times New Roman" w:eastAsia="Calibri" w:hAnsi="Times New Roman" w:cs="Times New Roman"/>
                <w:b/>
                <w:bCs/>
                <w:lang w:val="bg-BG"/>
              </w:rPr>
              <w:t>Насочват се специални ресурси и отговорности за включване на устойчивото развитие в различните сфери на дейност (например, създаване на многофункционална работна група с участие на заинтересованите страни).</w:t>
            </w:r>
          </w:p>
        </w:tc>
        <w:tc>
          <w:tcPr>
            <w:tcW w:w="3828" w:type="dxa"/>
            <w:shd w:val="clear" w:color="auto" w:fill="FFFFFF" w:themeFill="background1"/>
          </w:tcPr>
          <w:p w:rsidR="00BE154B" w:rsidRPr="001B1220" w:rsidRDefault="00BE154B" w:rsidP="00BE154B">
            <w:pPr>
              <w:tabs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1B1220">
              <w:rPr>
                <w:rFonts w:ascii="Times New Roman" w:eastAsia="Calibri" w:hAnsi="Times New Roman" w:cs="Times New Roman"/>
                <w:lang w:val="bg-BG"/>
              </w:rPr>
              <w:t>Общинското ръководство активно участва в управителни съвети и постоянни комисии към НСОРБ и др. институции.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А</w:t>
            </w:r>
            <w:r w:rsidRPr="001B1220">
              <w:rPr>
                <w:rFonts w:ascii="Times New Roman" w:eastAsia="Calibri" w:hAnsi="Times New Roman" w:cs="Times New Roman"/>
                <w:lang w:val="bg-BG"/>
              </w:rPr>
              <w:t>ктивно функционира Сдружение „Институт Перспективи“, чиято основна дейност е насочена към организиране на младежки дейности и предоставяне на услуги на младите хора</w:t>
            </w:r>
            <w:r>
              <w:rPr>
                <w:rFonts w:ascii="Times New Roman" w:eastAsia="Calibri" w:hAnsi="Times New Roman" w:cs="Times New Roman"/>
                <w:lang w:val="bg-BG"/>
              </w:rPr>
              <w:t>.</w:t>
            </w:r>
          </w:p>
        </w:tc>
        <w:tc>
          <w:tcPr>
            <w:tcW w:w="2557" w:type="dxa"/>
            <w:shd w:val="clear" w:color="auto" w:fill="FFFFFF" w:themeFill="background1"/>
          </w:tcPr>
          <w:p w:rsidR="00BE154B" w:rsidRPr="008573D0" w:rsidRDefault="00BE154B" w:rsidP="00BE15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154B" w:rsidRPr="006E5A43" w:rsidTr="006E5A43">
        <w:tc>
          <w:tcPr>
            <w:tcW w:w="8931" w:type="dxa"/>
            <w:shd w:val="clear" w:color="auto" w:fill="FFFFFF" w:themeFill="background1"/>
          </w:tcPr>
          <w:p w:rsidR="00BE154B" w:rsidRPr="006E5A43" w:rsidRDefault="00BE154B" w:rsidP="00BE154B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5. Гарантира се, че общинските процеси като управление на изпълнението, одит и анализи осигуряват механизми за обратна връзка и информация за устойчивостта в практиката и изпълнението</w:t>
            </w:r>
          </w:p>
        </w:tc>
        <w:tc>
          <w:tcPr>
            <w:tcW w:w="3828" w:type="dxa"/>
            <w:shd w:val="clear" w:color="auto" w:fill="FFFFFF" w:themeFill="background1"/>
          </w:tcPr>
          <w:p w:rsidR="00BE154B" w:rsidRPr="008573D0" w:rsidRDefault="00BE154B" w:rsidP="00BE154B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М</w:t>
            </w:r>
            <w:r w:rsidRPr="00BE154B">
              <w:rPr>
                <w:rFonts w:ascii="Times New Roman" w:eastAsia="Calibri" w:hAnsi="Times New Roman" w:cs="Times New Roman"/>
                <w:lang w:val="bg-BG"/>
              </w:rPr>
              <w:t>еханизми</w:t>
            </w:r>
            <w:r>
              <w:rPr>
                <w:rFonts w:ascii="Times New Roman" w:eastAsia="Calibri" w:hAnsi="Times New Roman" w:cs="Times New Roman"/>
                <w:lang w:val="bg-BG"/>
              </w:rPr>
              <w:t>те</w:t>
            </w:r>
            <w:r w:rsidRPr="00BE154B">
              <w:rPr>
                <w:rFonts w:ascii="Times New Roman" w:eastAsia="Calibri" w:hAnsi="Times New Roman" w:cs="Times New Roman"/>
                <w:lang w:val="bg-BG"/>
              </w:rPr>
              <w:t xml:space="preserve"> за обратна връзка и информация за устойчивостта в практиката и изпълнението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са удостоверени с отчети на бюджета и всички дружества с общинско участие. Ежегодно се отчита и постигнатото по различни приоритети и програми. Общински съвет отчита своята работа пред обществото и проверява изпълнението на взетите решения.</w:t>
            </w:r>
          </w:p>
        </w:tc>
        <w:tc>
          <w:tcPr>
            <w:tcW w:w="2557" w:type="dxa"/>
            <w:shd w:val="clear" w:color="auto" w:fill="FFFFFF" w:themeFill="background1"/>
          </w:tcPr>
          <w:p w:rsidR="00BE154B" w:rsidRPr="008573D0" w:rsidRDefault="00BE154B" w:rsidP="00BE15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154B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BE154B" w:rsidRPr="006E5A43" w:rsidRDefault="00BE154B" w:rsidP="00BE154B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3: Налице е широка и дългосрочна перспектива за бъдещето на местната общност, като се мисли за това от какво се нуждае тя, за да се постигне добро бъдещо развитие.</w:t>
            </w:r>
          </w:p>
        </w:tc>
      </w:tr>
      <w:tr w:rsidR="00BE154B" w:rsidRPr="006E5A43" w:rsidTr="006E5A43">
        <w:tc>
          <w:tcPr>
            <w:tcW w:w="8931" w:type="dxa"/>
            <w:shd w:val="clear" w:color="auto" w:fill="auto"/>
          </w:tcPr>
          <w:p w:rsidR="00BE154B" w:rsidRPr="006E5A43" w:rsidRDefault="00BE154B" w:rsidP="00BE154B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6. Прилага се подход на широко обществено участие във вземането на решения за устойчиво развитие.</w:t>
            </w:r>
          </w:p>
        </w:tc>
        <w:tc>
          <w:tcPr>
            <w:tcW w:w="3828" w:type="dxa"/>
            <w:shd w:val="clear" w:color="auto" w:fill="FFFFFF" w:themeFill="background1"/>
          </w:tcPr>
          <w:p w:rsidR="00BE154B" w:rsidRPr="008573D0" w:rsidRDefault="00BE154B" w:rsidP="00514F1F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 xml:space="preserve">Бюджетите, като основен финансов план се обсъждат публично. Налични </w:t>
            </w: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 xml:space="preserve">са протоколи. Изпълнението също се предоставя </w:t>
            </w:r>
            <w:r w:rsidR="00514F1F">
              <w:rPr>
                <w:rFonts w:ascii="Times New Roman" w:eastAsia="Calibri" w:hAnsi="Times New Roman" w:cs="Times New Roman"/>
                <w:lang w:val="bg-BG"/>
              </w:rPr>
              <w:t>за широко обществено обсъждане чрез публикации на месечни и годишни отчети, участия в комисии и сесии. Всяко поемане на дълг също е оповестено. Спазва за Закона за нормативните актове и е предоставена възможност на заинтересованите лица да внасят промени или изразяват несъгласия с проекти.</w:t>
            </w:r>
            <w:r>
              <w:rPr>
                <w:rFonts w:ascii="Times New Roman" w:eastAsia="Calibri" w:hAnsi="Times New Roman" w:cs="Times New Roman"/>
                <w:lang w:val="bg-BG"/>
              </w:rPr>
              <w:t xml:space="preserve"> </w:t>
            </w:r>
          </w:p>
        </w:tc>
        <w:tc>
          <w:tcPr>
            <w:tcW w:w="2557" w:type="dxa"/>
            <w:shd w:val="clear" w:color="auto" w:fill="FFFFFF" w:themeFill="background1"/>
          </w:tcPr>
          <w:p w:rsidR="00BE154B" w:rsidRPr="008573D0" w:rsidRDefault="00BE154B" w:rsidP="00BE15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154B" w:rsidRPr="006E5A43" w:rsidTr="006E5A43">
        <w:tc>
          <w:tcPr>
            <w:tcW w:w="8931" w:type="dxa"/>
            <w:shd w:val="clear" w:color="auto" w:fill="auto"/>
          </w:tcPr>
          <w:p w:rsidR="00BE154B" w:rsidRPr="006E5A43" w:rsidRDefault="00BE154B" w:rsidP="00BE154B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lastRenderedPageBreak/>
              <w:t>Индикатор 7. Изпълнява се инвестиционен финансов план, гарантиращ дългосрочна жизнеспособност на общинската инфраструктура и активи.</w:t>
            </w:r>
          </w:p>
        </w:tc>
        <w:tc>
          <w:tcPr>
            <w:tcW w:w="3828" w:type="dxa"/>
            <w:shd w:val="clear" w:color="auto" w:fill="FFFFFF" w:themeFill="background1"/>
          </w:tcPr>
          <w:p w:rsidR="00BE154B" w:rsidRPr="008573D0" w:rsidRDefault="00BD53A5" w:rsidP="00BD53A5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приложените доказателства има достатъчно информация потвърждаваща гарантирането на жизнеспособност на общинската инфраструктура и активи. Ремонтират се водопроводи, улично осветление, прилагат се мерки за енергийна ефективност на сгради, закупува се техника за поддръжка на местата за обществено ползване и спортните бази.</w:t>
            </w:r>
          </w:p>
        </w:tc>
        <w:tc>
          <w:tcPr>
            <w:tcW w:w="2557" w:type="dxa"/>
            <w:shd w:val="clear" w:color="auto" w:fill="FFFFFF" w:themeFill="background1"/>
          </w:tcPr>
          <w:p w:rsidR="00BE154B" w:rsidRPr="008573D0" w:rsidRDefault="00514F1F" w:rsidP="00BE15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ДА</w:t>
            </w:r>
          </w:p>
        </w:tc>
      </w:tr>
      <w:tr w:rsidR="00BE154B" w:rsidRPr="006E5A43" w:rsidTr="006E5A43">
        <w:tc>
          <w:tcPr>
            <w:tcW w:w="15316" w:type="dxa"/>
            <w:gridSpan w:val="3"/>
            <w:shd w:val="clear" w:color="auto" w:fill="FBE4D5" w:themeFill="accent2" w:themeFillTint="33"/>
          </w:tcPr>
          <w:p w:rsidR="00BE154B" w:rsidRPr="006E5A43" w:rsidRDefault="00BE154B" w:rsidP="00BE154B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Times New Roman" w:hAnsi="Times New Roman" w:cs="Times New Roman"/>
                <w:b/>
                <w:bCs/>
                <w:noProof/>
                <w:lang w:val="bg-BG" w:eastAsia="bg-BG"/>
              </w:rPr>
              <w:t>ДЕЙНОСТ 4: Налице е разбиране за историческите, културните и социални обвързаности, на които се основава дългосрочната перспектива за бъдещето на местната общност.</w:t>
            </w:r>
          </w:p>
        </w:tc>
      </w:tr>
      <w:tr w:rsidR="00BE154B" w:rsidRPr="006E5A43" w:rsidTr="006E5A43">
        <w:tc>
          <w:tcPr>
            <w:tcW w:w="8931" w:type="dxa"/>
            <w:shd w:val="clear" w:color="auto" w:fill="FFFFFF" w:themeFill="background1"/>
          </w:tcPr>
          <w:p w:rsidR="00BE154B" w:rsidRPr="006E5A43" w:rsidRDefault="00BE154B" w:rsidP="00BE154B">
            <w:pPr>
              <w:tabs>
                <w:tab w:val="left" w:pos="4678"/>
                <w:tab w:val="left" w:pos="7938"/>
              </w:tabs>
              <w:spacing w:afterLines="40" w:after="96"/>
              <w:jc w:val="both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Индикатор 8. Прилага се структуриран планов подход за запазване на историческите, културните и социалните ценности на общината.</w:t>
            </w:r>
          </w:p>
        </w:tc>
        <w:tc>
          <w:tcPr>
            <w:tcW w:w="3828" w:type="dxa"/>
            <w:shd w:val="clear" w:color="auto" w:fill="FFFFFF" w:themeFill="background1"/>
          </w:tcPr>
          <w:p w:rsidR="00BE154B" w:rsidRPr="008573D0" w:rsidRDefault="000F53FD" w:rsidP="00ED0028">
            <w:pPr>
              <w:spacing w:line="276" w:lineRule="auto"/>
              <w:jc w:val="both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В стратегическите цели и приоритети на администрацията са застъпени мерки за запазване на културно-историческото наследство и социалните ценности.</w:t>
            </w:r>
            <w:r w:rsidR="00ED0028">
              <w:rPr>
                <w:rFonts w:ascii="Times New Roman" w:eastAsia="Calibri" w:hAnsi="Times New Roman" w:cs="Times New Roman"/>
                <w:lang w:val="bg-BG"/>
              </w:rPr>
              <w:t xml:space="preserve"> В отчетите на читалищата се визират изпълнени </w:t>
            </w:r>
            <w:r w:rsidR="00ED0028">
              <w:rPr>
                <w:rFonts w:ascii="Times New Roman" w:eastAsia="Calibri" w:hAnsi="Times New Roman" w:cs="Times New Roman"/>
                <w:lang w:val="bg-BG"/>
              </w:rPr>
              <w:lastRenderedPageBreak/>
              <w:t>ремонти по сградите и участие в събития. Поддържат се галерия, паркове и паметници с историческо значение. Страницата на туристически информационен център Свищов е много до</w:t>
            </w:r>
            <w:r w:rsidR="002E7363">
              <w:rPr>
                <w:rFonts w:ascii="Times New Roman" w:eastAsia="Calibri" w:hAnsi="Times New Roman" w:cs="Times New Roman"/>
                <w:lang w:val="bg-BG"/>
              </w:rPr>
              <w:t>бре поддържана. Публикациите за събитията съдържат и карта с точното място на провеждане.</w:t>
            </w:r>
            <w:bookmarkStart w:id="0" w:name="_GoBack"/>
            <w:bookmarkEnd w:id="0"/>
          </w:p>
        </w:tc>
        <w:tc>
          <w:tcPr>
            <w:tcW w:w="2557" w:type="dxa"/>
            <w:shd w:val="clear" w:color="auto" w:fill="FFFFFF" w:themeFill="background1"/>
          </w:tcPr>
          <w:p w:rsidR="00BE154B" w:rsidRPr="008573D0" w:rsidRDefault="000F53FD" w:rsidP="00BE154B">
            <w:pPr>
              <w:spacing w:line="276" w:lineRule="auto"/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lastRenderedPageBreak/>
              <w:t>ДА</w:t>
            </w:r>
          </w:p>
        </w:tc>
      </w:tr>
      <w:tr w:rsidR="00BE154B" w:rsidRPr="006E5A43" w:rsidTr="003C6DED">
        <w:tc>
          <w:tcPr>
            <w:tcW w:w="8931" w:type="dxa"/>
            <w:shd w:val="clear" w:color="auto" w:fill="E2EFD9" w:themeFill="accent6" w:themeFillTint="33"/>
          </w:tcPr>
          <w:p w:rsidR="00BE154B" w:rsidRPr="006E5A43" w:rsidRDefault="00BE154B" w:rsidP="00BE154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</w:p>
          <w:p w:rsidR="00BE154B" w:rsidRPr="006E5A43" w:rsidRDefault="00BE154B" w:rsidP="00BE154B">
            <w:pPr>
              <w:jc w:val="center"/>
              <w:rPr>
                <w:rFonts w:ascii="Times New Roman" w:eastAsia="Calibri" w:hAnsi="Times New Roman" w:cs="Times New Roman"/>
                <w:b/>
                <w:lang w:val="bg-BG"/>
              </w:rPr>
            </w:pPr>
            <w:r w:rsidRPr="006E5A43">
              <w:rPr>
                <w:rFonts w:ascii="Times New Roman" w:eastAsia="Calibri" w:hAnsi="Times New Roman" w:cs="Times New Roman"/>
                <w:b/>
                <w:lang w:val="bg-BG"/>
              </w:rPr>
              <w:t>СТАНОВИЩЕ ЗА ВЕРИФИЦИРАНЕ ПРИЛАГАНЕТО НА ПРИНЦИП 9:</w:t>
            </w:r>
          </w:p>
          <w:p w:rsidR="00BE154B" w:rsidRPr="006E5A43" w:rsidRDefault="00BE154B" w:rsidP="00BE154B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6385" w:type="dxa"/>
            <w:gridSpan w:val="2"/>
            <w:shd w:val="clear" w:color="auto" w:fill="E2EFD9" w:themeFill="accent6" w:themeFillTint="33"/>
          </w:tcPr>
          <w:p w:rsidR="00BE154B" w:rsidRPr="006E5A43" w:rsidRDefault="00BE154B" w:rsidP="00BE154B">
            <w:pPr>
              <w:jc w:val="center"/>
              <w:rPr>
                <w:rFonts w:ascii="Times New Roman" w:eastAsia="Calibri" w:hAnsi="Times New Roman" w:cs="Times New Roman"/>
              </w:rPr>
            </w:pPr>
          </w:p>
          <w:p w:rsidR="00BE154B" w:rsidRPr="006E5A43" w:rsidRDefault="00514F1F" w:rsidP="00BE154B">
            <w:pPr>
              <w:jc w:val="center"/>
              <w:rPr>
                <w:rFonts w:ascii="Times New Roman" w:eastAsia="Calibri" w:hAnsi="Times New Roman" w:cs="Times New Roman"/>
                <w:lang w:val="bg-BG"/>
              </w:rPr>
            </w:pPr>
            <w:r>
              <w:rPr>
                <w:rFonts w:ascii="Times New Roman" w:eastAsia="Calibri" w:hAnsi="Times New Roman" w:cs="Times New Roman"/>
                <w:lang w:val="bg-BG"/>
              </w:rPr>
              <w:t>Заверка без резерви</w:t>
            </w:r>
          </w:p>
        </w:tc>
      </w:tr>
    </w:tbl>
    <w:p w:rsidR="00246FD8" w:rsidRDefault="00246FD8"/>
    <w:sectPr w:rsidR="00246FD8" w:rsidSect="002825D5">
      <w:headerReference w:type="default" r:id="rId6"/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2A4B89" w:rsidRDefault="002A4B89" w:rsidP="00DE6DCB">
      <w:pPr>
        <w:spacing w:after="0" w:line="240" w:lineRule="auto"/>
      </w:pPr>
      <w:r>
        <w:separator/>
      </w:r>
    </w:p>
  </w:endnote>
  <w:endnote w:type="continuationSeparator" w:id="0">
    <w:p w:rsidR="002A4B89" w:rsidRDefault="002A4B89" w:rsidP="00DE6D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2A4B89" w:rsidRDefault="002A4B89" w:rsidP="00DE6DCB">
      <w:pPr>
        <w:spacing w:after="0" w:line="240" w:lineRule="auto"/>
      </w:pPr>
      <w:r>
        <w:separator/>
      </w:r>
    </w:p>
  </w:footnote>
  <w:footnote w:type="continuationSeparator" w:id="0">
    <w:p w:rsidR="002A4B89" w:rsidRDefault="002A4B89" w:rsidP="00DE6D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E6DCB" w:rsidRPr="00DE6DCB" w:rsidRDefault="00DE6DCB" w:rsidP="00DE6DCB">
    <w:pPr>
      <w:pStyle w:val="a5"/>
      <w:jc w:val="right"/>
      <w:rPr>
        <w:rFonts w:ascii="Times New Roman" w:hAnsi="Times New Roman" w:cs="Times New Roman"/>
        <w:b/>
      </w:rPr>
    </w:pPr>
    <w:r w:rsidRPr="00DE6DCB">
      <w:rPr>
        <w:rFonts w:ascii="Times New Roman" w:hAnsi="Times New Roman" w:cs="Times New Roman"/>
        <w:b/>
      </w:rPr>
      <w:t xml:space="preserve">КОНТРОЛЕН ЛИСТ № </w:t>
    </w:r>
    <w:r>
      <w:rPr>
        <w:rFonts w:ascii="Times New Roman" w:hAnsi="Times New Roman" w:cs="Times New Roman"/>
        <w:b/>
      </w:rPr>
      <w:t>9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825D5"/>
    <w:rsid w:val="000C143B"/>
    <w:rsid w:val="000F53FD"/>
    <w:rsid w:val="00246FD8"/>
    <w:rsid w:val="002535CC"/>
    <w:rsid w:val="002825D5"/>
    <w:rsid w:val="0028350F"/>
    <w:rsid w:val="002A4B89"/>
    <w:rsid w:val="002E7363"/>
    <w:rsid w:val="003C6DED"/>
    <w:rsid w:val="004F0038"/>
    <w:rsid w:val="00514F1F"/>
    <w:rsid w:val="00670F8A"/>
    <w:rsid w:val="006B4D78"/>
    <w:rsid w:val="006E5A43"/>
    <w:rsid w:val="008028A5"/>
    <w:rsid w:val="00803A49"/>
    <w:rsid w:val="00A829CA"/>
    <w:rsid w:val="00AC1EE6"/>
    <w:rsid w:val="00BA7B65"/>
    <w:rsid w:val="00BD53A5"/>
    <w:rsid w:val="00BE154B"/>
    <w:rsid w:val="00BF1C06"/>
    <w:rsid w:val="00C15AC1"/>
    <w:rsid w:val="00DE6DCB"/>
    <w:rsid w:val="00ED00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A828C2C"/>
  <w15:chartTrackingRefBased/>
  <w15:docId w15:val="{F52174CA-AE77-429F-8836-530905F9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15A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825D5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C15AC1"/>
    <w:pPr>
      <w:ind w:left="720"/>
      <w:contextualSpacing/>
    </w:pPr>
  </w:style>
  <w:style w:type="paragraph" w:styleId="a5">
    <w:name w:val="header"/>
    <w:basedOn w:val="a"/>
    <w:link w:val="a6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Горен колонтитул Знак"/>
    <w:basedOn w:val="a0"/>
    <w:link w:val="a5"/>
    <w:uiPriority w:val="99"/>
    <w:rsid w:val="00DE6DCB"/>
  </w:style>
  <w:style w:type="paragraph" w:styleId="a7">
    <w:name w:val="footer"/>
    <w:basedOn w:val="a"/>
    <w:link w:val="a8"/>
    <w:uiPriority w:val="99"/>
    <w:unhideWhenUsed/>
    <w:rsid w:val="00DE6DC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8">
    <w:name w:val="Долен колонтитул Знак"/>
    <w:basedOn w:val="a0"/>
    <w:link w:val="a7"/>
    <w:uiPriority w:val="99"/>
    <w:rsid w:val="00DE6D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</TotalTime>
  <Pages>4</Pages>
  <Words>731</Words>
  <Characters>4167</Characters>
  <Application>Microsoft Office Word</Application>
  <DocSecurity>0</DocSecurity>
  <Lines>34</Lines>
  <Paragraphs>9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Ministry of Regional Development and Public Works</Company>
  <LinksUpToDate>false</LinksUpToDate>
  <CharactersWithSpaces>4889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VALERI KRUMOV NAYDENOV</dc:creator>
  <cp:keywords/>
  <dc:description/>
  <cp:lastModifiedBy>Direktor-finance</cp:lastModifiedBy>
  <cp:revision>16</cp:revision>
  <dcterms:created xsi:type="dcterms:W3CDTF">2022-07-05T11:09:00Z</dcterms:created>
  <dcterms:modified xsi:type="dcterms:W3CDTF">2025-05-16T08:33:00Z</dcterms:modified>
</cp:coreProperties>
</file>